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08D2F" w14:textId="77777777" w:rsidR="002D2322" w:rsidRDefault="002D2322"/>
    <w:p w14:paraId="63E8BDB6" w14:textId="77777777" w:rsidR="002D2322" w:rsidRDefault="002D2322"/>
    <w:p w14:paraId="23A4269F" w14:textId="77777777" w:rsidR="002D2322" w:rsidRDefault="002D2322"/>
    <w:p w14:paraId="6CCA2EFF" w14:textId="77777777" w:rsidR="002D2322" w:rsidRDefault="002D2322"/>
    <w:p w14:paraId="3AF9933F" w14:textId="77777777" w:rsidR="002D2322" w:rsidRDefault="002D2322"/>
    <w:p w14:paraId="279E67F9" w14:textId="72C2EC8B" w:rsidR="00EC0C25" w:rsidRDefault="00560876">
      <w:r>
        <w:t xml:space="preserve">Terviseamet                                           </w:t>
      </w:r>
    </w:p>
    <w:p w14:paraId="20B833F5" w14:textId="03D85AF2" w:rsidR="00560876" w:rsidRDefault="00560876">
      <w:hyperlink r:id="rId7" w:history="1">
        <w:r w:rsidRPr="00B60A7F">
          <w:rPr>
            <w:rStyle w:val="Hperlink"/>
          </w:rPr>
          <w:t>info@terviseamet.ee</w:t>
        </w:r>
      </w:hyperlink>
      <w:r>
        <w:t xml:space="preserve">                                                                                  Teie: </w:t>
      </w:r>
      <w:r w:rsidRPr="00560876">
        <w:t>30.05.2023 nr 9.3-1/20/11413-7</w:t>
      </w:r>
    </w:p>
    <w:p w14:paraId="274D4294" w14:textId="41B6DE03" w:rsidR="00560876" w:rsidRDefault="00560876">
      <w:r>
        <w:tab/>
      </w:r>
      <w:r>
        <w:tab/>
      </w:r>
      <w:r>
        <w:tab/>
      </w:r>
      <w:r>
        <w:tab/>
      </w:r>
      <w:r>
        <w:tab/>
      </w:r>
      <w:r>
        <w:tab/>
      </w:r>
      <w:r>
        <w:tab/>
      </w:r>
      <w:r>
        <w:tab/>
        <w:t xml:space="preserve">      Meie 2</w:t>
      </w:r>
      <w:r w:rsidR="000C2CB5">
        <w:t>6</w:t>
      </w:r>
      <w:r>
        <w:t>.09.2023</w:t>
      </w:r>
    </w:p>
    <w:p w14:paraId="7A82EC2B" w14:textId="77777777" w:rsidR="00560876" w:rsidRPr="00560876" w:rsidRDefault="00560876">
      <w:pPr>
        <w:rPr>
          <w:b/>
          <w:bCs/>
        </w:rPr>
      </w:pPr>
    </w:p>
    <w:p w14:paraId="0BA19E7E" w14:textId="77777777" w:rsidR="00560876" w:rsidRPr="00560876" w:rsidRDefault="00560876" w:rsidP="00560876">
      <w:pPr>
        <w:rPr>
          <w:b/>
          <w:bCs/>
        </w:rPr>
      </w:pPr>
      <w:r w:rsidRPr="00560876">
        <w:rPr>
          <w:b/>
          <w:bCs/>
        </w:rPr>
        <w:t xml:space="preserve">Liikuri tn 22 ja 24//26 kruntide ja </w:t>
      </w:r>
    </w:p>
    <w:p w14:paraId="3F211F63" w14:textId="524A0464" w:rsidR="00560876" w:rsidRDefault="00560876" w:rsidP="00560876">
      <w:pPr>
        <w:rPr>
          <w:b/>
          <w:bCs/>
        </w:rPr>
      </w:pPr>
      <w:r w:rsidRPr="00560876">
        <w:rPr>
          <w:b/>
          <w:bCs/>
        </w:rPr>
        <w:t xml:space="preserve">lähiala detailplaneering  </w:t>
      </w:r>
    </w:p>
    <w:p w14:paraId="52B788C9" w14:textId="77777777" w:rsidR="00560876" w:rsidRDefault="00560876" w:rsidP="00560876">
      <w:pPr>
        <w:rPr>
          <w:b/>
          <w:bCs/>
        </w:rPr>
      </w:pPr>
    </w:p>
    <w:p w14:paraId="437AB0D6" w14:textId="59487EEE" w:rsidR="00560876" w:rsidRDefault="00560876" w:rsidP="00560876">
      <w:r w:rsidRPr="00560876">
        <w:t>Tallinna Linnaplaneerimise Amet edastas Teile kooskõlastamiseks Liikuri tn 22 ja 24//26 kruntide ja lähiala detailplaneeringu.</w:t>
      </w:r>
    </w:p>
    <w:p w14:paraId="73F16D06" w14:textId="5A2CE887" w:rsidR="00560876" w:rsidRDefault="003E1BA2" w:rsidP="00560876">
      <w:pPr>
        <w:pStyle w:val="Vahedeta"/>
      </w:pPr>
      <w:r>
        <w:t>Terviseamet</w:t>
      </w:r>
      <w:r w:rsidR="00560876">
        <w:t xml:space="preserve"> ei kooskõlastanud detailplaneeringut 08.01.2021 kirjaga nr 9.3-1/20/11413-2, kuna </w:t>
      </w:r>
    </w:p>
    <w:p w14:paraId="0FF075B8" w14:textId="77777777" w:rsidR="00560876" w:rsidRDefault="00560876" w:rsidP="00560876">
      <w:pPr>
        <w:pStyle w:val="Vahedeta"/>
      </w:pPr>
      <w:r>
        <w:t xml:space="preserve">mürahinnangus (Akukon Eesti OÜ, 10.10.2018, töö nr 170078-1) ületasid müratasemed </w:t>
      </w:r>
    </w:p>
    <w:p w14:paraId="16E0D51C" w14:textId="77777777" w:rsidR="00560876" w:rsidRDefault="00560876" w:rsidP="00560876">
      <w:pPr>
        <w:pStyle w:val="Vahedeta"/>
      </w:pPr>
      <w:r>
        <w:t xml:space="preserve">keskkonnaministri 16.12.2016 määruses nr 71 „Välisõhus leviva müra normtasemed ja </w:t>
      </w:r>
    </w:p>
    <w:p w14:paraId="4A5C4EAA" w14:textId="77777777" w:rsidR="00560876" w:rsidRDefault="00560876" w:rsidP="00560876">
      <w:pPr>
        <w:pStyle w:val="Vahedeta"/>
      </w:pPr>
      <w:r>
        <w:t xml:space="preserve">mürataseme mõõtmise, määramise ja hindamise meetodid“ (edaspidi KeM määrus nr 71) lisas </w:t>
      </w:r>
    </w:p>
    <w:p w14:paraId="5242B223" w14:textId="77777777" w:rsidR="00560876" w:rsidRDefault="00560876" w:rsidP="00560876">
      <w:pPr>
        <w:pStyle w:val="Vahedeta"/>
      </w:pPr>
      <w:r>
        <w:t xml:space="preserve">1 toodud </w:t>
      </w:r>
      <w:r w:rsidRPr="00AC76B1">
        <w:rPr>
          <w:b/>
          <w:bCs/>
        </w:rPr>
        <w:t>II kategooria</w:t>
      </w:r>
      <w:r>
        <w:t xml:space="preserve"> liiklusmüra piirväärtuseid nii päeval kui ka öösel ning 28.01.2021 kirjaga </w:t>
      </w:r>
    </w:p>
    <w:p w14:paraId="63B8D582" w14:textId="6BF36DD0" w:rsidR="00560876" w:rsidRDefault="00560876" w:rsidP="00560876">
      <w:pPr>
        <w:pStyle w:val="Vahedeta"/>
      </w:pPr>
      <w:r>
        <w:t>nr 9.3-1/20/11413-4  selgitas</w:t>
      </w:r>
      <w:r>
        <w:t>ite</w:t>
      </w:r>
      <w:r>
        <w:t xml:space="preserve"> miks detailplaneering jäi kooskõlastamata ning millest </w:t>
      </w:r>
    </w:p>
    <w:p w14:paraId="51BCAC93" w14:textId="38810C12" w:rsidR="00560876" w:rsidRDefault="00560876" w:rsidP="00560876">
      <w:pPr>
        <w:pStyle w:val="Vahedeta"/>
      </w:pPr>
      <w:r>
        <w:t>tuleneb mürakategooriate ja maakasutuse juhtotstarbe määramine.</w:t>
      </w:r>
      <w:r>
        <w:t xml:space="preserve">   Kirjaga 30.05.2023 nr </w:t>
      </w:r>
      <w:r w:rsidRPr="00560876">
        <w:t>9.3-1/20/11413-7</w:t>
      </w:r>
      <w:r>
        <w:t xml:space="preserve"> jätsite samuti kooskõlastamata detailplaneeringu viidates varasematele kirjadele. Juhtisite ka tähelepanu sellele, et mürauuring on vananenud ja soovitasite ajakohastada mürauuringut, mis olukorda ka detailsemalt hinnata lubab. </w:t>
      </w:r>
    </w:p>
    <w:p w14:paraId="28F79818" w14:textId="77777777" w:rsidR="002D2322" w:rsidRDefault="002D2322" w:rsidP="00560876">
      <w:pPr>
        <w:pStyle w:val="Vahedeta"/>
      </w:pPr>
    </w:p>
    <w:p w14:paraId="53F45737" w14:textId="77777777" w:rsidR="00560876" w:rsidRDefault="00560876" w:rsidP="00560876">
      <w:pPr>
        <w:pStyle w:val="Vahedeta"/>
      </w:pPr>
    </w:p>
    <w:p w14:paraId="73DE5C09" w14:textId="599B4B5F" w:rsidR="00541E0A" w:rsidRDefault="003301B0" w:rsidP="00541E0A">
      <w:pPr>
        <w:pStyle w:val="Vahedeta"/>
        <w:rPr>
          <w:kern w:val="0"/>
          <w14:ligatures w14:val="none"/>
        </w:rPr>
      </w:pPr>
      <w:r>
        <w:t xml:space="preserve">Bonava Eesti OÜ soovib juhtida Terviseameti tähelepanu asjaolule, et Terviseamet on oma 28.01.2021 kirjaga nr </w:t>
      </w:r>
      <w:r>
        <w:t xml:space="preserve">9.3-1/20/11413-4  </w:t>
      </w:r>
      <w:r>
        <w:t xml:space="preserve">välja toonud, millest tuleneb mürakategooriate ja maakasutus juhtotstarbe määramine. Vastavalt haldusmenetluse seadusele </w:t>
      </w:r>
      <w:r w:rsidR="00626080">
        <w:t>ei tohiks mürakategooriate määramisel lähtuda ametkondade omavahelisest kirjavahetusest, lähtuda saab ainult kehtivast haldusaktist. Haldusmenetlus seadus</w:t>
      </w:r>
      <w:r w:rsidRPr="00AC76B1">
        <w:t xml:space="preserve"> § 60 lg 1</w:t>
      </w:r>
      <w:r w:rsidR="00626080" w:rsidRPr="00AC76B1">
        <w:t xml:space="preserve"> - Õ</w:t>
      </w:r>
      <w:r w:rsidR="00626080" w:rsidRPr="00AC76B1">
        <w:t>iguslikke tagajärgi loob ja täitmiseks on kohustuslik ainult kehtiv haldusakt</w:t>
      </w:r>
      <w:r w:rsidRPr="00AC76B1">
        <w:t>. Kehtivaks haldusaktiks on kehtiv Lasnamäe Linnaosa Üldplaneering</w:t>
      </w:r>
      <w:r w:rsidR="00626080" w:rsidRPr="00AC76B1">
        <w:t>, mis viitab, et Laagna tee äärseid elamualasid tuleks käsitleda kui III kategooria ala</w:t>
      </w:r>
      <w:r w:rsidR="00E81968">
        <w:t>dena</w:t>
      </w:r>
      <w:r w:rsidR="00626080" w:rsidRPr="00AC76B1">
        <w:t>. Väljavõte Lasnamäe Linnaosa Üldplaneeringu seletuskirjast:</w:t>
      </w:r>
      <w:r>
        <w:rPr>
          <w:kern w:val="0"/>
          <w14:ligatures w14:val="none"/>
        </w:rPr>
        <w:t xml:space="preserve"> </w:t>
      </w:r>
    </w:p>
    <w:p w14:paraId="2614B789" w14:textId="4DF63209" w:rsidR="003301B0" w:rsidRPr="00541E0A" w:rsidRDefault="003301B0" w:rsidP="00101640">
      <w:pPr>
        <w:pStyle w:val="Vahedeta"/>
        <w:ind w:firstLine="708"/>
        <w:rPr>
          <w:i/>
          <w:iCs/>
        </w:rPr>
      </w:pPr>
      <w:r w:rsidRPr="00541E0A">
        <w:rPr>
          <w:i/>
          <w:iCs/>
          <w:kern w:val="0"/>
          <w14:ligatures w14:val="none"/>
        </w:rPr>
        <w:t>„</w:t>
      </w:r>
      <w:r w:rsidRPr="00541E0A">
        <w:rPr>
          <w:i/>
          <w:iCs/>
        </w:rPr>
        <w:t xml:space="preserve">Väljakujunenud </w:t>
      </w:r>
      <w:r w:rsidRPr="00541E0A">
        <w:rPr>
          <w:i/>
          <w:iCs/>
          <w:color w:val="000000"/>
        </w:rPr>
        <w:t xml:space="preserve">tiheasustusega linnaala, </w:t>
      </w:r>
      <w:r w:rsidRPr="00541E0A">
        <w:rPr>
          <w:i/>
          <w:iCs/>
        </w:rPr>
        <w:t>kus lisaks korterelamutele võivad paikneda kõik elurajoone teenindavad asutused ja kaubandus-teenindusettevõtted, tuleb mürasituatsiooni hindamisel üldjuhul</w:t>
      </w:r>
      <w:r w:rsidR="00101640">
        <w:rPr>
          <w:i/>
          <w:iCs/>
        </w:rPr>
        <w:t xml:space="preserve"> </w:t>
      </w:r>
      <w:r w:rsidRPr="00541E0A">
        <w:rPr>
          <w:i/>
          <w:iCs/>
        </w:rPr>
        <w:t xml:space="preserve">määratleda olemasoleva </w:t>
      </w:r>
      <w:r w:rsidRPr="00541E0A">
        <w:rPr>
          <w:b/>
          <w:bCs/>
          <w:i/>
          <w:iCs/>
        </w:rPr>
        <w:t>III kategooria alana ehk segaalana (elamud</w:t>
      </w:r>
      <w:r w:rsidRPr="00541E0A">
        <w:rPr>
          <w:i/>
          <w:iCs/>
        </w:rPr>
        <w:t xml:space="preserve"> ja ühiskasutusega hooned, kaubandus-, teenindus- ja tootmisettevõtted).</w:t>
      </w:r>
    </w:p>
    <w:p w14:paraId="52C923EB" w14:textId="77777777" w:rsidR="00101640" w:rsidRDefault="00101640" w:rsidP="00E81968">
      <w:pPr>
        <w:pStyle w:val="Vahedeta"/>
        <w:rPr>
          <w:i/>
          <w:iCs/>
        </w:rPr>
      </w:pPr>
    </w:p>
    <w:p w14:paraId="3D276B02" w14:textId="77777777" w:rsidR="00101640" w:rsidRDefault="00101640" w:rsidP="00E81968">
      <w:pPr>
        <w:pStyle w:val="Vahedeta"/>
        <w:rPr>
          <w:i/>
          <w:iCs/>
        </w:rPr>
      </w:pPr>
    </w:p>
    <w:p w14:paraId="569910AC" w14:textId="77777777" w:rsidR="00101640" w:rsidRDefault="00101640" w:rsidP="00E81968">
      <w:pPr>
        <w:pStyle w:val="Vahedeta"/>
        <w:rPr>
          <w:i/>
          <w:iCs/>
        </w:rPr>
      </w:pPr>
    </w:p>
    <w:p w14:paraId="03D1C0E4" w14:textId="2C410CE9" w:rsidR="003301B0" w:rsidRPr="00541E0A" w:rsidRDefault="003301B0" w:rsidP="00E81968">
      <w:pPr>
        <w:pStyle w:val="Vahedeta"/>
        <w:rPr>
          <w:i/>
          <w:iCs/>
        </w:rPr>
      </w:pPr>
      <w:r w:rsidRPr="00541E0A">
        <w:rPr>
          <w:i/>
          <w:iCs/>
        </w:rPr>
        <w:t>Lubatud liiklusmüra piirtase segahoonestusalal on 65 dB päeval ja 55 dB öösel, kusjuures müratundlike hoonete sõiduteepoolsel küljel on lubatud 70 dB päeval ja 60</w:t>
      </w:r>
      <w:r w:rsidRPr="00541E0A">
        <w:rPr>
          <w:b/>
          <w:i/>
          <w:iCs/>
        </w:rPr>
        <w:t> </w:t>
      </w:r>
      <w:r w:rsidRPr="00541E0A">
        <w:rPr>
          <w:i/>
          <w:iCs/>
        </w:rPr>
        <w:t>dB öösel.</w:t>
      </w:r>
    </w:p>
    <w:p w14:paraId="293FB85A" w14:textId="2CB7554B" w:rsidR="00541E0A" w:rsidRPr="00541E0A" w:rsidRDefault="003301B0" w:rsidP="00E81968">
      <w:pPr>
        <w:pStyle w:val="Vahedeta"/>
        <w:rPr>
          <w:i/>
          <w:iCs/>
        </w:rPr>
      </w:pPr>
      <w:r w:rsidRPr="00541E0A">
        <w:rPr>
          <w:i/>
          <w:iCs/>
        </w:rPr>
        <w:t>Lähtudes Eesti müraalasest õigusaktidest tuleb linnasisesel segaalal (olemasoleva hoonestuse puhul), kus leidub ka elamuid, rakendada leevendavaid meetmeid juhtudel, kus müratase hoone teepoolsel fassaadil ületab 70 dB päeval või 60 dB öösel (hoone vaiksemal küljel peab sel juhul müratase jääma madalamaks kui 65 dB päeval ja 55 dB öösel).</w:t>
      </w:r>
    </w:p>
    <w:p w14:paraId="0818E3D1" w14:textId="2CB7FBB2" w:rsidR="003301B0" w:rsidRPr="00541E0A" w:rsidRDefault="003301B0" w:rsidP="00E81968">
      <w:pPr>
        <w:pStyle w:val="Vahedeta"/>
        <w:rPr>
          <w:i/>
          <w:iCs/>
        </w:rPr>
      </w:pPr>
      <w:r w:rsidRPr="00541E0A">
        <w:rPr>
          <w:i/>
          <w:iCs/>
        </w:rPr>
        <w:t xml:space="preserve">Vastavalt Lasnamäe </w:t>
      </w:r>
      <w:r w:rsidRPr="00101640">
        <w:rPr>
          <w:b/>
          <w:bCs/>
          <w:i/>
          <w:iCs/>
        </w:rPr>
        <w:t>elamualade</w:t>
      </w:r>
      <w:r w:rsidRPr="00541E0A">
        <w:rPr>
          <w:i/>
          <w:iCs/>
        </w:rPr>
        <w:t xml:space="preserve"> üldplaneeringu keskkonnamõjude strateegilisele hindamisele ületab olemasolevatel või perspektiivsetel hoonestusaladel müratase:</w:t>
      </w:r>
    </w:p>
    <w:p w14:paraId="3DE87FA0" w14:textId="77777777" w:rsidR="003301B0" w:rsidRPr="00541E0A" w:rsidRDefault="003301B0" w:rsidP="00E81968">
      <w:pPr>
        <w:pStyle w:val="Vahedeta"/>
        <w:rPr>
          <w:i/>
          <w:iCs/>
        </w:rPr>
      </w:pPr>
      <w:r w:rsidRPr="00541E0A">
        <w:rPr>
          <w:i/>
          <w:iCs/>
        </w:rPr>
        <w:t>- 70 dB Peterburi tee, Majaka tn ja Pae tn ristumiskohas;</w:t>
      </w:r>
    </w:p>
    <w:p w14:paraId="1B74E788" w14:textId="77777777" w:rsidR="003301B0" w:rsidRPr="00541E0A" w:rsidRDefault="003301B0" w:rsidP="00E81968">
      <w:pPr>
        <w:pStyle w:val="Vahedeta"/>
        <w:rPr>
          <w:i/>
          <w:iCs/>
        </w:rPr>
      </w:pPr>
      <w:r w:rsidRPr="00541E0A">
        <w:rPr>
          <w:i/>
          <w:iCs/>
        </w:rPr>
        <w:t xml:space="preserve">- 65 dB </w:t>
      </w:r>
      <w:r w:rsidRPr="00541E0A">
        <w:rPr>
          <w:b/>
          <w:bCs/>
          <w:i/>
          <w:iCs/>
        </w:rPr>
        <w:t>Laagna tee äärsetel aladel</w:t>
      </w:r>
      <w:r w:rsidRPr="00541E0A">
        <w:rPr>
          <w:i/>
          <w:iCs/>
        </w:rPr>
        <w:t>, samuti üksikud eluhooned Pae ja Punase tn piirkonnas ning perspektiivse Rahu tee ääres.</w:t>
      </w:r>
    </w:p>
    <w:p w14:paraId="6EE30E0A" w14:textId="557ED664" w:rsidR="003301B0" w:rsidRPr="00541E0A" w:rsidRDefault="003301B0" w:rsidP="00E81968">
      <w:pPr>
        <w:pStyle w:val="Vahedeta"/>
        <w:rPr>
          <w:i/>
          <w:iCs/>
        </w:rPr>
      </w:pPr>
      <w:r w:rsidRPr="00541E0A">
        <w:rPr>
          <w:i/>
          <w:iCs/>
        </w:rPr>
        <w:t>Nimetatud piirkondades tuleb koostatavates detailplaneeringutes või elamute renoveerimise eel tellida liiklus- ja tootmismüra modelleerimine. Nendes piirkondades paiknevate hoonete siseruumides tuleb hinnata/kontrollida akustiliste tingimuste vastavust normidele ja tervisekaitsenõuetele ning vastavalt vajadusele võtta kasutusele mürakaitsemeetmeid – nt hoonete akende või kogu teepoolse fassaadi heliisolatsiooni täiendav parandamine, rõdude ja lodžade tüüplahenduste kohane klaasimine, fassaadide ja katuste renoveerimine.</w:t>
      </w:r>
      <w:r w:rsidRPr="00541E0A">
        <w:rPr>
          <w:i/>
          <w:iCs/>
        </w:rPr>
        <w:t>“</w:t>
      </w:r>
    </w:p>
    <w:p w14:paraId="43C347C7" w14:textId="77777777" w:rsidR="002D2322" w:rsidRDefault="002D2322" w:rsidP="00AC76B1">
      <w:pPr>
        <w:pStyle w:val="Loetelu"/>
        <w:numPr>
          <w:ilvl w:val="0"/>
          <w:numId w:val="0"/>
        </w:numPr>
        <w:rPr>
          <w:rFonts w:asciiTheme="minorHAnsi" w:eastAsiaTheme="minorHAnsi" w:hAnsiTheme="minorHAnsi" w:cstheme="minorBidi"/>
          <w:b/>
          <w:bCs/>
          <w:kern w:val="2"/>
          <w:sz w:val="22"/>
          <w:szCs w:val="22"/>
          <w14:ligatures w14:val="standardContextual"/>
        </w:rPr>
      </w:pPr>
    </w:p>
    <w:p w14:paraId="4D265A2C" w14:textId="30BA95EF" w:rsidR="003E1BA2" w:rsidRPr="003E1BA2" w:rsidRDefault="00AC76B1" w:rsidP="003E1BA2">
      <w:pPr>
        <w:pStyle w:val="Vahedeta"/>
        <w:rPr>
          <w:b/>
          <w:bCs/>
        </w:rPr>
      </w:pPr>
      <w:r w:rsidRPr="003E1BA2">
        <w:rPr>
          <w:b/>
          <w:bCs/>
        </w:rPr>
        <w:t>Tulenevalt eeltoodust on Bonava Eesti OÜ seisukohal, et  Tallinna Keskkonnaameti 24.10.2017 kir</w:t>
      </w:r>
      <w:r w:rsidR="003E1BA2">
        <w:rPr>
          <w:b/>
          <w:bCs/>
        </w:rPr>
        <w:t>ja</w:t>
      </w:r>
      <w:r w:rsidR="00E351B6" w:rsidRPr="003E1BA2">
        <w:rPr>
          <w:b/>
          <w:bCs/>
        </w:rPr>
        <w:t xml:space="preserve"> </w:t>
      </w:r>
      <w:r w:rsidRPr="003E1BA2">
        <w:rPr>
          <w:b/>
          <w:bCs/>
        </w:rPr>
        <w:t xml:space="preserve">nr 6.1 - 6/1269-2 Terviseametile müra </w:t>
      </w:r>
      <w:r w:rsidR="00E351B6" w:rsidRPr="003E1BA2">
        <w:rPr>
          <w:b/>
          <w:bCs/>
        </w:rPr>
        <w:t xml:space="preserve">kategooriate </w:t>
      </w:r>
      <w:r w:rsidRPr="003E1BA2">
        <w:rPr>
          <w:b/>
          <w:bCs/>
        </w:rPr>
        <w:t xml:space="preserve">määratluse osas </w:t>
      </w:r>
      <w:r w:rsidRPr="003E1BA2">
        <w:rPr>
          <w:b/>
          <w:bCs/>
        </w:rPr>
        <w:t>ei saa aluseks võtta</w:t>
      </w:r>
      <w:r w:rsidR="00E351B6" w:rsidRPr="003E1BA2">
        <w:rPr>
          <w:b/>
          <w:bCs/>
        </w:rPr>
        <w:t xml:space="preserve"> antud detailplaneeringu</w:t>
      </w:r>
      <w:r w:rsidRPr="003E1BA2">
        <w:rPr>
          <w:b/>
          <w:bCs/>
        </w:rPr>
        <w:t xml:space="preserve"> müra kategooria määramisel</w:t>
      </w:r>
      <w:r w:rsidR="00E351B6" w:rsidRPr="003E1BA2">
        <w:rPr>
          <w:b/>
          <w:bCs/>
        </w:rPr>
        <w:t xml:space="preserve">, kuna see on vastuolus Haldusmenetluse seaduse </w:t>
      </w:r>
    </w:p>
    <w:p w14:paraId="4608B56E" w14:textId="4E166B7C" w:rsidR="00AC76B1" w:rsidRPr="003E1BA2" w:rsidRDefault="00E351B6" w:rsidP="003E1BA2">
      <w:pPr>
        <w:pStyle w:val="Vahedeta"/>
        <w:rPr>
          <w:b/>
          <w:bCs/>
        </w:rPr>
      </w:pPr>
      <w:r w:rsidRPr="003E1BA2">
        <w:rPr>
          <w:b/>
          <w:bCs/>
        </w:rPr>
        <w:t xml:space="preserve">§ 60 lg 1 </w:t>
      </w:r>
      <w:r w:rsidRPr="003E1BA2">
        <w:rPr>
          <w:b/>
          <w:bCs/>
        </w:rPr>
        <w:t xml:space="preserve">-ga. Müra kategooria määratlusel saab lähtuda ainult kehtivast </w:t>
      </w:r>
      <w:r w:rsidR="00AC76B1" w:rsidRPr="003E1BA2">
        <w:rPr>
          <w:b/>
          <w:bCs/>
        </w:rPr>
        <w:t>Lasnamäe Linnaosa Üldplaneeringu</w:t>
      </w:r>
      <w:r w:rsidRPr="003E1BA2">
        <w:rPr>
          <w:b/>
          <w:bCs/>
        </w:rPr>
        <w:t xml:space="preserve">st, mille seletuskirjas on eraldi välja toodud erisus Laagna tee äärsete alade müra </w:t>
      </w:r>
      <w:r w:rsidR="002D2322" w:rsidRPr="003E1BA2">
        <w:rPr>
          <w:b/>
          <w:bCs/>
        </w:rPr>
        <w:t>kategooria määramise</w:t>
      </w:r>
      <w:r w:rsidRPr="003E1BA2">
        <w:rPr>
          <w:b/>
          <w:bCs/>
        </w:rPr>
        <w:t xml:space="preserve"> osas.</w:t>
      </w:r>
      <w:r w:rsidR="00AC76B1" w:rsidRPr="003E1BA2">
        <w:rPr>
          <w:b/>
          <w:bCs/>
        </w:rPr>
        <w:t xml:space="preserve"> </w:t>
      </w:r>
    </w:p>
    <w:p w14:paraId="5C87FB93" w14:textId="77777777" w:rsidR="00E351B6" w:rsidRDefault="00E351B6" w:rsidP="00AC76B1">
      <w:pPr>
        <w:pStyle w:val="Vahedeta"/>
      </w:pPr>
    </w:p>
    <w:p w14:paraId="6A2FC606" w14:textId="77777777" w:rsidR="002D2322" w:rsidRDefault="002D2322" w:rsidP="00AC76B1">
      <w:pPr>
        <w:pStyle w:val="Vahedeta"/>
      </w:pPr>
    </w:p>
    <w:p w14:paraId="6E132358" w14:textId="77777777" w:rsidR="003A25EB" w:rsidRDefault="003A25EB" w:rsidP="00AC76B1">
      <w:pPr>
        <w:pStyle w:val="Vahedeta"/>
      </w:pPr>
    </w:p>
    <w:p w14:paraId="4A7B5DA9" w14:textId="1F355844" w:rsidR="00560876" w:rsidRPr="00AC76B1" w:rsidRDefault="00560876" w:rsidP="00AC76B1">
      <w:pPr>
        <w:pStyle w:val="Vahedeta"/>
      </w:pPr>
      <w:r>
        <w:t xml:space="preserve">Bonava Eesti OÜ edastas ajakohastatud mürauuringu Tallinna Linnaplaneerimise Ametile </w:t>
      </w:r>
      <w:r w:rsidR="003301B0">
        <w:t xml:space="preserve">31.07.2023. </w:t>
      </w:r>
      <w:r w:rsidR="00626080">
        <w:t xml:space="preserve">Vastavalt </w:t>
      </w:r>
      <w:r w:rsidR="00AC76B1">
        <w:t>Keskkonnaministri 16. detsembri 2016. a määruse nr 71 „Välisõhus leviva müra normtasemed ja mürataseme mõõtmise, määramise ja hindamise meetodid“ kehtestatud III kategooria piirtaseme nõuded on olemasolevas olukorras kõigi planeeringuala hoonete osas täidetud. Mänguväljakutel on täidetud III kategooria sihtväärtused</w:t>
      </w:r>
      <w:r w:rsidR="00AC76B1">
        <w:t xml:space="preserve">. </w:t>
      </w:r>
      <w:r w:rsidR="00AC76B1" w:rsidRPr="00AC76B1">
        <w:t>Bonava Eesti OÜ on detailplaneeringus ette näinud ka kohustuslikud ehituslikud meetmed (detailplaneeringu seletuskiri, p 4.13.1 ja p 5) selleks, et välisõhu müra levik planeeritud elamu siseruumides normidega kooskõlla viia.</w:t>
      </w:r>
    </w:p>
    <w:p w14:paraId="00042A19" w14:textId="77777777" w:rsidR="00AC76B1" w:rsidRDefault="00AC76B1" w:rsidP="00560876">
      <w:pPr>
        <w:pStyle w:val="Vahedeta"/>
        <w:rPr>
          <w:rFonts w:ascii="Times New Roman" w:hAnsi="Times New Roman" w:cs="Times New Roman"/>
          <w:sz w:val="24"/>
          <w:szCs w:val="24"/>
        </w:rPr>
      </w:pPr>
    </w:p>
    <w:p w14:paraId="6E165A1F" w14:textId="77777777" w:rsidR="002D2322" w:rsidRDefault="002D2322" w:rsidP="00AC76B1">
      <w:pPr>
        <w:pStyle w:val="Vahedeta"/>
        <w:rPr>
          <w:b/>
          <w:bCs/>
        </w:rPr>
      </w:pPr>
    </w:p>
    <w:p w14:paraId="2565FD95" w14:textId="77777777" w:rsidR="002D2322" w:rsidRDefault="002D2322" w:rsidP="00AC76B1">
      <w:pPr>
        <w:pStyle w:val="Vahedeta"/>
        <w:rPr>
          <w:b/>
          <w:bCs/>
        </w:rPr>
      </w:pPr>
    </w:p>
    <w:p w14:paraId="18BDF9B6" w14:textId="77777777" w:rsidR="002D2322" w:rsidRDefault="002D2322" w:rsidP="00AC76B1">
      <w:pPr>
        <w:pStyle w:val="Vahedeta"/>
        <w:rPr>
          <w:b/>
          <w:bCs/>
        </w:rPr>
      </w:pPr>
    </w:p>
    <w:p w14:paraId="5F9C0C5C" w14:textId="77777777" w:rsidR="002D2322" w:rsidRDefault="002D2322" w:rsidP="00AC76B1">
      <w:pPr>
        <w:pStyle w:val="Vahedeta"/>
        <w:rPr>
          <w:b/>
          <w:bCs/>
        </w:rPr>
      </w:pPr>
    </w:p>
    <w:p w14:paraId="3614A0CD" w14:textId="77777777" w:rsidR="00541E0A" w:rsidRDefault="00541E0A" w:rsidP="00AC76B1">
      <w:pPr>
        <w:pStyle w:val="Vahedeta"/>
        <w:rPr>
          <w:b/>
          <w:bCs/>
        </w:rPr>
      </w:pPr>
    </w:p>
    <w:p w14:paraId="7F9D333E" w14:textId="77777777" w:rsidR="00541E0A" w:rsidRDefault="00541E0A" w:rsidP="00AC76B1">
      <w:pPr>
        <w:pStyle w:val="Vahedeta"/>
        <w:rPr>
          <w:b/>
          <w:bCs/>
        </w:rPr>
      </w:pPr>
    </w:p>
    <w:p w14:paraId="0F5FFD99" w14:textId="77777777" w:rsidR="00541E0A" w:rsidRDefault="00541E0A" w:rsidP="00AC76B1">
      <w:pPr>
        <w:pStyle w:val="Vahedeta"/>
        <w:rPr>
          <w:b/>
          <w:bCs/>
        </w:rPr>
      </w:pPr>
    </w:p>
    <w:p w14:paraId="76A5353E" w14:textId="77777777" w:rsidR="00541E0A" w:rsidRDefault="00541E0A" w:rsidP="00AC76B1">
      <w:pPr>
        <w:pStyle w:val="Vahedeta"/>
        <w:rPr>
          <w:b/>
          <w:bCs/>
        </w:rPr>
      </w:pPr>
    </w:p>
    <w:p w14:paraId="0254EC25" w14:textId="77777777" w:rsidR="003A25EB" w:rsidRDefault="003A25EB" w:rsidP="00AC76B1">
      <w:pPr>
        <w:pStyle w:val="Vahedeta"/>
        <w:rPr>
          <w:b/>
          <w:bCs/>
        </w:rPr>
      </w:pPr>
    </w:p>
    <w:p w14:paraId="41D3D0B3" w14:textId="77777777" w:rsidR="003A25EB" w:rsidRDefault="003A25EB" w:rsidP="00AC76B1">
      <w:pPr>
        <w:pStyle w:val="Vahedeta"/>
        <w:rPr>
          <w:b/>
          <w:bCs/>
        </w:rPr>
      </w:pPr>
    </w:p>
    <w:p w14:paraId="6D17E4AD" w14:textId="77777777" w:rsidR="00541E0A" w:rsidRDefault="00541E0A" w:rsidP="00AC76B1">
      <w:pPr>
        <w:pStyle w:val="Vahedeta"/>
        <w:rPr>
          <w:b/>
          <w:bCs/>
        </w:rPr>
      </w:pPr>
    </w:p>
    <w:p w14:paraId="7E0E38ED" w14:textId="3AF89278" w:rsidR="00AC76B1" w:rsidRPr="00AC76B1" w:rsidRDefault="00AC76B1" w:rsidP="00AC76B1">
      <w:pPr>
        <w:pStyle w:val="Vahedeta"/>
        <w:rPr>
          <w:b/>
          <w:bCs/>
        </w:rPr>
      </w:pPr>
      <w:r w:rsidRPr="00AC76B1">
        <w:rPr>
          <w:b/>
          <w:bCs/>
        </w:rPr>
        <w:t>Bonava Eesti OÜ palu</w:t>
      </w:r>
      <w:r w:rsidR="00E351B6">
        <w:rPr>
          <w:b/>
          <w:bCs/>
        </w:rPr>
        <w:t>b</w:t>
      </w:r>
      <w:r w:rsidRPr="00AC76B1">
        <w:rPr>
          <w:b/>
          <w:bCs/>
        </w:rPr>
        <w:t xml:space="preserve"> Terviseametil kooskõlastada </w:t>
      </w:r>
      <w:r w:rsidRPr="00AC76B1">
        <w:rPr>
          <w:b/>
          <w:bCs/>
        </w:rPr>
        <w:t xml:space="preserve">Liikuri tn 22 ja 24//26 kruntide ja </w:t>
      </w:r>
    </w:p>
    <w:p w14:paraId="4A82FAD2" w14:textId="6F39EEA5" w:rsidR="00AC76B1" w:rsidRPr="00AC76B1" w:rsidRDefault="00AC76B1" w:rsidP="00AC76B1">
      <w:pPr>
        <w:pStyle w:val="Vahedeta"/>
      </w:pPr>
      <w:r w:rsidRPr="00AC76B1">
        <w:rPr>
          <w:b/>
          <w:bCs/>
        </w:rPr>
        <w:t>lähiala detailplaneering</w:t>
      </w:r>
      <w:r w:rsidRPr="00AC76B1">
        <w:t xml:space="preserve">  </w:t>
      </w:r>
      <w:r w:rsidRPr="00AC76B1">
        <w:t>.</w:t>
      </w:r>
    </w:p>
    <w:p w14:paraId="49D2016C" w14:textId="77777777" w:rsidR="00AC76B1" w:rsidRPr="00AC76B1" w:rsidRDefault="00AC76B1" w:rsidP="00560876">
      <w:pPr>
        <w:pStyle w:val="Vahedeta"/>
      </w:pPr>
    </w:p>
    <w:p w14:paraId="02B74268" w14:textId="77777777" w:rsidR="00AC76B1" w:rsidRPr="00AC76B1" w:rsidRDefault="00AC76B1" w:rsidP="00560876">
      <w:pPr>
        <w:pStyle w:val="Vahedeta"/>
      </w:pPr>
    </w:p>
    <w:p w14:paraId="55AFDF42" w14:textId="77777777" w:rsidR="00560876" w:rsidRDefault="00560876" w:rsidP="00560876">
      <w:pPr>
        <w:pStyle w:val="Vahedeta"/>
      </w:pPr>
    </w:p>
    <w:p w14:paraId="2244D25E" w14:textId="77777777" w:rsidR="00AC76B1" w:rsidRPr="00F94D19" w:rsidRDefault="00AC76B1" w:rsidP="00AC76B1">
      <w:pPr>
        <w:pStyle w:val="Loetelu"/>
        <w:numPr>
          <w:ilvl w:val="0"/>
          <w:numId w:val="0"/>
        </w:numPr>
        <w:rPr>
          <w:i/>
          <w:szCs w:val="24"/>
        </w:rPr>
      </w:pPr>
      <w:r w:rsidRPr="00F94D19">
        <w:rPr>
          <w:i/>
          <w:szCs w:val="24"/>
        </w:rPr>
        <w:t>Märkus: müra käsitlus on leitav Lasnamäe elamualade üldplaneeringu seletuskirjast lk 56-57.</w:t>
      </w:r>
    </w:p>
    <w:p w14:paraId="54C5461C" w14:textId="55A7EC7D" w:rsidR="00560876" w:rsidRDefault="00560876" w:rsidP="00560876">
      <w:pPr>
        <w:pStyle w:val="Vahedeta"/>
      </w:pPr>
    </w:p>
    <w:p w14:paraId="31580861" w14:textId="77777777" w:rsidR="00AC76B1" w:rsidRPr="00911558" w:rsidRDefault="00AC76B1" w:rsidP="00AC76B1">
      <w:pPr>
        <w:pStyle w:val="Loetelu"/>
        <w:numPr>
          <w:ilvl w:val="0"/>
          <w:numId w:val="0"/>
        </w:numPr>
        <w:rPr>
          <w:i/>
          <w:szCs w:val="24"/>
        </w:rPr>
      </w:pPr>
      <w:r w:rsidRPr="00911558">
        <w:rPr>
          <w:i/>
          <w:szCs w:val="24"/>
        </w:rPr>
        <w:t>Lugupidamisega</w:t>
      </w:r>
    </w:p>
    <w:p w14:paraId="19463952" w14:textId="77777777" w:rsidR="00AC76B1" w:rsidRPr="00911558" w:rsidRDefault="00AC76B1" w:rsidP="00AC76B1">
      <w:pPr>
        <w:pStyle w:val="Loetelu"/>
        <w:numPr>
          <w:ilvl w:val="0"/>
          <w:numId w:val="0"/>
        </w:numPr>
        <w:rPr>
          <w:i/>
          <w:szCs w:val="24"/>
        </w:rPr>
      </w:pPr>
    </w:p>
    <w:p w14:paraId="3611CE97" w14:textId="77777777" w:rsidR="00AC76B1" w:rsidRPr="00911558" w:rsidRDefault="00AC76B1" w:rsidP="00AC76B1">
      <w:pPr>
        <w:pStyle w:val="Loetelu"/>
        <w:numPr>
          <w:ilvl w:val="0"/>
          <w:numId w:val="0"/>
        </w:numPr>
        <w:rPr>
          <w:i/>
          <w:szCs w:val="24"/>
        </w:rPr>
      </w:pPr>
      <w:r w:rsidRPr="00911558">
        <w:rPr>
          <w:i/>
          <w:szCs w:val="24"/>
        </w:rPr>
        <w:t>Kätlin Villmann</w:t>
      </w:r>
    </w:p>
    <w:p w14:paraId="642F3B7D" w14:textId="77777777" w:rsidR="00AC76B1" w:rsidRPr="00911558" w:rsidRDefault="00AC76B1" w:rsidP="00AC76B1">
      <w:pPr>
        <w:pStyle w:val="Loetelu"/>
        <w:numPr>
          <w:ilvl w:val="0"/>
          <w:numId w:val="0"/>
        </w:numPr>
        <w:rPr>
          <w:i/>
          <w:szCs w:val="24"/>
        </w:rPr>
      </w:pPr>
      <w:r w:rsidRPr="00911558">
        <w:rPr>
          <w:i/>
          <w:szCs w:val="24"/>
        </w:rPr>
        <w:t>Bonava Eesti OÜ</w:t>
      </w:r>
    </w:p>
    <w:p w14:paraId="030A12F0" w14:textId="77777777" w:rsidR="00AC76B1" w:rsidRPr="00911558" w:rsidRDefault="00AC76B1" w:rsidP="00AC76B1">
      <w:pPr>
        <w:pStyle w:val="Loetelu"/>
        <w:numPr>
          <w:ilvl w:val="0"/>
          <w:numId w:val="0"/>
        </w:numPr>
        <w:rPr>
          <w:i/>
          <w:szCs w:val="24"/>
        </w:rPr>
      </w:pPr>
      <w:r w:rsidRPr="00911558">
        <w:rPr>
          <w:i/>
          <w:szCs w:val="24"/>
        </w:rPr>
        <w:t>Arenduse projektijuht</w:t>
      </w:r>
    </w:p>
    <w:p w14:paraId="34854393" w14:textId="77777777" w:rsidR="00AC76B1" w:rsidRPr="00911558" w:rsidRDefault="00AC76B1" w:rsidP="00AC76B1">
      <w:pPr>
        <w:pStyle w:val="Loetelu"/>
        <w:numPr>
          <w:ilvl w:val="0"/>
          <w:numId w:val="0"/>
        </w:numPr>
        <w:rPr>
          <w:i/>
          <w:szCs w:val="24"/>
        </w:rPr>
      </w:pPr>
      <w:r w:rsidRPr="00911558">
        <w:rPr>
          <w:i/>
          <w:szCs w:val="24"/>
        </w:rPr>
        <w:t>(allkirjastatud digitaalselt)</w:t>
      </w:r>
    </w:p>
    <w:p w14:paraId="4D723495" w14:textId="77777777" w:rsidR="00AC76B1" w:rsidRDefault="00AC76B1" w:rsidP="00560876">
      <w:pPr>
        <w:pStyle w:val="Vahedeta"/>
      </w:pPr>
    </w:p>
    <w:p w14:paraId="618E3EF6" w14:textId="77777777" w:rsidR="00541E0A" w:rsidRDefault="00541E0A" w:rsidP="00560876">
      <w:pPr>
        <w:pStyle w:val="Vahedeta"/>
      </w:pPr>
    </w:p>
    <w:p w14:paraId="690994E5" w14:textId="5E95F168" w:rsidR="00541E0A" w:rsidRDefault="004E373A" w:rsidP="00541E0A">
      <w:pPr>
        <w:pStyle w:val="Kehatekst"/>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Lisa:  </w:t>
      </w:r>
      <w:r w:rsidR="00541E0A" w:rsidRPr="008B3533">
        <w:rPr>
          <w:rFonts w:ascii="Times New Roman" w:hAnsi="Times New Roman" w:cs="Times New Roman"/>
          <w:sz w:val="24"/>
          <w:szCs w:val="24"/>
        </w:rPr>
        <w:t>Liiklusmüra hinnang Kajaja Acoustics OÜ  töö nr. 21199  25.07.2023</w:t>
      </w:r>
    </w:p>
    <w:p w14:paraId="3CF39E38" w14:textId="77777777" w:rsidR="00541E0A" w:rsidRPr="00560876" w:rsidRDefault="00541E0A" w:rsidP="00541E0A">
      <w:pPr>
        <w:pStyle w:val="Vahedeta"/>
      </w:pPr>
    </w:p>
    <w:sectPr w:rsidR="00541E0A" w:rsidRPr="00560876" w:rsidSect="000C7769">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0052" w14:textId="77777777" w:rsidR="002D2322" w:rsidRDefault="002D2322" w:rsidP="002D2322">
      <w:pPr>
        <w:spacing w:after="0" w:line="240" w:lineRule="auto"/>
      </w:pPr>
      <w:r>
        <w:separator/>
      </w:r>
    </w:p>
  </w:endnote>
  <w:endnote w:type="continuationSeparator" w:id="0">
    <w:p w14:paraId="265B770A" w14:textId="77777777" w:rsidR="002D2322" w:rsidRDefault="002D2322" w:rsidP="002D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CD1D" w14:textId="77777777" w:rsidR="002D2322" w:rsidRPr="002D2322" w:rsidRDefault="002D2322" w:rsidP="002D2322">
    <w:pPr>
      <w:tabs>
        <w:tab w:val="left" w:pos="170"/>
        <w:tab w:val="center" w:pos="4536"/>
        <w:tab w:val="right" w:pos="9072"/>
      </w:tabs>
      <w:spacing w:after="0" w:line="240" w:lineRule="auto"/>
      <w:rPr>
        <w:rFonts w:ascii="Arial" w:eastAsia="Arial" w:hAnsi="Arial" w:cs="Times New Roman"/>
        <w:color w:val="6EC2B3"/>
        <w:kern w:val="0"/>
        <w:sz w:val="14"/>
        <w:lang w:val="sv-SE"/>
        <w14:ligatures w14:val="none"/>
      </w:rPr>
    </w:pPr>
  </w:p>
  <w:p w14:paraId="079BACCD" w14:textId="77777777" w:rsidR="002D2322" w:rsidRPr="002D2322" w:rsidRDefault="002D2322" w:rsidP="002D2322">
    <w:pPr>
      <w:tabs>
        <w:tab w:val="left" w:pos="170"/>
        <w:tab w:val="center" w:pos="4536"/>
        <w:tab w:val="right" w:pos="9072"/>
      </w:tabs>
      <w:spacing w:after="0" w:line="240" w:lineRule="auto"/>
      <w:jc w:val="center"/>
      <w:rPr>
        <w:rFonts w:ascii="Helvetica" w:eastAsia="Helvetica" w:hAnsi="Helvetica" w:cs="Helvetica"/>
        <w:color w:val="6EC2B3"/>
        <w:kern w:val="0"/>
        <w:sz w:val="13"/>
        <w:szCs w:val="13"/>
        <w:lang w:val="en-US"/>
        <w14:ligatures w14:val="none"/>
      </w:rPr>
    </w:pPr>
    <w:r w:rsidRPr="002D2322">
      <w:rPr>
        <w:rFonts w:ascii="Helvetica" w:eastAsia="Helvetica" w:hAnsi="Helvetica" w:cs="Helvetica"/>
        <w:color w:val="6EC2B3"/>
        <w:kern w:val="0"/>
        <w:sz w:val="13"/>
        <w:szCs w:val="13"/>
        <w:lang w:val="en-US"/>
        <w14:ligatures w14:val="none"/>
      </w:rPr>
      <w:t xml:space="preserve">Bonava Eesti OÜ </w:t>
    </w:r>
  </w:p>
  <w:p w14:paraId="7A40F116" w14:textId="77777777" w:rsidR="002D2322" w:rsidRPr="002D2322" w:rsidRDefault="002D2322" w:rsidP="002D2322">
    <w:pPr>
      <w:tabs>
        <w:tab w:val="left" w:pos="170"/>
        <w:tab w:val="center" w:pos="4536"/>
        <w:tab w:val="right" w:pos="9072"/>
      </w:tabs>
      <w:spacing w:after="0" w:line="240" w:lineRule="auto"/>
      <w:jc w:val="center"/>
      <w:rPr>
        <w:rFonts w:ascii="Helvetica" w:eastAsia="Helvetica" w:hAnsi="Helvetica" w:cs="Helvetica"/>
        <w:color w:val="6EC2B3"/>
        <w:kern w:val="0"/>
        <w:sz w:val="13"/>
        <w:szCs w:val="13"/>
        <w:lang w:val="en-US"/>
        <w14:ligatures w14:val="none"/>
      </w:rPr>
    </w:pPr>
    <w:r w:rsidRPr="002D2322">
      <w:rPr>
        <w:rFonts w:ascii="Helvetica" w:eastAsia="Helvetica" w:hAnsi="Helvetica" w:cs="Helvetica"/>
        <w:color w:val="6EC2B3"/>
        <w:kern w:val="0"/>
        <w:sz w:val="13"/>
        <w:szCs w:val="13"/>
        <w:lang w:val="en-US"/>
        <w14:ligatures w14:val="none"/>
      </w:rPr>
      <w:t>Toompuiestee 35, 10149 Tallinn, Eesti</w:t>
    </w:r>
  </w:p>
  <w:p w14:paraId="286DD72C" w14:textId="77777777" w:rsidR="002D2322" w:rsidRPr="002D2322" w:rsidRDefault="002D2322" w:rsidP="002D2322">
    <w:pPr>
      <w:tabs>
        <w:tab w:val="left" w:pos="170"/>
        <w:tab w:val="center" w:pos="4536"/>
        <w:tab w:val="right" w:pos="9072"/>
      </w:tabs>
      <w:spacing w:after="0" w:line="240" w:lineRule="auto"/>
      <w:jc w:val="center"/>
      <w:rPr>
        <w:rFonts w:ascii="Helvetica" w:eastAsia="Helvetica" w:hAnsi="Helvetica" w:cs="Helvetica"/>
        <w:color w:val="6EC2B3"/>
        <w:kern w:val="0"/>
        <w:sz w:val="13"/>
        <w:szCs w:val="13"/>
        <w:lang w:val="en-US"/>
        <w14:ligatures w14:val="none"/>
      </w:rPr>
    </w:pPr>
    <w:r w:rsidRPr="002D2322">
      <w:rPr>
        <w:rFonts w:ascii="Helvetica" w:eastAsia="Helvetica" w:hAnsi="Helvetica" w:cs="Helvetica"/>
        <w:color w:val="6EC2B3"/>
        <w:kern w:val="0"/>
        <w:sz w:val="13"/>
        <w:szCs w:val="13"/>
        <w:lang w:val="en-US"/>
        <w14:ligatures w14:val="none"/>
      </w:rPr>
      <w:t xml:space="preserve"> T: +372 627 4855 </w:t>
    </w:r>
  </w:p>
  <w:p w14:paraId="18E48855" w14:textId="77777777" w:rsidR="002D2322" w:rsidRPr="002D2322" w:rsidRDefault="002D2322" w:rsidP="002D2322">
    <w:pPr>
      <w:tabs>
        <w:tab w:val="left" w:pos="170"/>
        <w:tab w:val="center" w:pos="4536"/>
        <w:tab w:val="right" w:pos="9072"/>
      </w:tabs>
      <w:spacing w:after="0" w:line="240" w:lineRule="auto"/>
      <w:jc w:val="center"/>
      <w:rPr>
        <w:rFonts w:ascii="Helvetica" w:eastAsia="Helvetica" w:hAnsi="Helvetica" w:cs="Helvetica"/>
        <w:color w:val="6EC2B3"/>
        <w:kern w:val="0"/>
        <w:sz w:val="13"/>
        <w:szCs w:val="13"/>
        <w:lang w:val="en-US"/>
        <w14:ligatures w14:val="none"/>
      </w:rPr>
    </w:pPr>
    <w:r w:rsidRPr="002D2322">
      <w:rPr>
        <w:rFonts w:ascii="Helvetica" w:eastAsia="Helvetica" w:hAnsi="Helvetica" w:cs="Helvetica"/>
        <w:color w:val="6EC2B3"/>
        <w:kern w:val="0"/>
        <w:sz w:val="13"/>
        <w:szCs w:val="13"/>
        <w:lang w:val="en-US"/>
        <w14:ligatures w14:val="none"/>
      </w:rPr>
      <w:t>Reg.nr: 11398856, KMKR nr: EE101156714</w:t>
    </w:r>
  </w:p>
  <w:p w14:paraId="124ED416" w14:textId="77777777" w:rsidR="002D2322" w:rsidRPr="002D2322" w:rsidRDefault="002D2322" w:rsidP="002D2322">
    <w:pPr>
      <w:tabs>
        <w:tab w:val="left" w:pos="170"/>
        <w:tab w:val="center" w:pos="4536"/>
        <w:tab w:val="right" w:pos="9072"/>
      </w:tabs>
      <w:spacing w:after="0" w:line="240" w:lineRule="auto"/>
      <w:jc w:val="center"/>
      <w:rPr>
        <w:rFonts w:ascii="Helvetica" w:eastAsia="Helvetica" w:hAnsi="Helvetica" w:cs="Helvetica"/>
        <w:color w:val="6EC2B3"/>
        <w:kern w:val="0"/>
        <w:sz w:val="13"/>
        <w:szCs w:val="13"/>
        <w:lang w:val="en-US"/>
        <w14:ligatures w14:val="none"/>
      </w:rPr>
    </w:pPr>
    <w:r w:rsidRPr="002D2322">
      <w:rPr>
        <w:rFonts w:ascii="Helvetica" w:eastAsia="Helvetica" w:hAnsi="Helvetica" w:cs="Helvetica"/>
        <w:color w:val="6EC2B3"/>
        <w:kern w:val="0"/>
        <w:sz w:val="13"/>
        <w:szCs w:val="13"/>
        <w:lang w:val="en-US"/>
        <w14:ligatures w14:val="none"/>
      </w:rPr>
      <w:t xml:space="preserve"> info@bonava.ee, bonava.ee</w:t>
    </w:r>
    <w:r w:rsidRPr="002D2322">
      <w:rPr>
        <w:rFonts w:ascii="Arial" w:eastAsia="Arial" w:hAnsi="Arial" w:cs="Times New Roman"/>
        <w:color w:val="6EC2B3"/>
        <w:kern w:val="0"/>
        <w:sz w:val="14"/>
        <w:lang w:val="sv-SE"/>
        <w14:ligatures w14:val="none"/>
      </w:rPr>
      <w:br/>
    </w:r>
  </w:p>
  <w:p w14:paraId="53159CC2" w14:textId="2E3BB77C" w:rsidR="002D2322" w:rsidRDefault="002D232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02AE7" w14:textId="77777777" w:rsidR="002D2322" w:rsidRDefault="002D2322" w:rsidP="002D2322">
      <w:pPr>
        <w:spacing w:after="0" w:line="240" w:lineRule="auto"/>
      </w:pPr>
      <w:r>
        <w:separator/>
      </w:r>
    </w:p>
  </w:footnote>
  <w:footnote w:type="continuationSeparator" w:id="0">
    <w:p w14:paraId="4E7983EE" w14:textId="77777777" w:rsidR="002D2322" w:rsidRDefault="002D2322" w:rsidP="002D2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9EB1" w14:textId="6580D891" w:rsidR="002D2322" w:rsidRDefault="002D2322">
    <w:pPr>
      <w:pStyle w:val="Pis"/>
    </w:pPr>
    <w:r>
      <w:rPr>
        <w:noProof/>
        <w:lang w:eastAsia="et-EE"/>
      </w:rPr>
      <w:drawing>
        <wp:anchor distT="0" distB="0" distL="114300" distR="114300" simplePos="0" relativeHeight="251659264" behindDoc="1" locked="0" layoutInCell="1" allowOverlap="1" wp14:anchorId="559D5C41" wp14:editId="67055665">
          <wp:simplePos x="0" y="0"/>
          <wp:positionH relativeFrom="page">
            <wp:posOffset>2943225</wp:posOffset>
          </wp:positionH>
          <wp:positionV relativeFrom="page">
            <wp:posOffset>458470</wp:posOffset>
          </wp:positionV>
          <wp:extent cx="1440000" cy="615600"/>
          <wp:effectExtent l="0" t="0" r="8255" b="0"/>
          <wp:wrapNone/>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nava Green.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15600"/>
                  </a:xfrm>
                  <a:prstGeom prst="rect">
                    <a:avLst/>
                  </a:prstGeom>
                </pic:spPr>
              </pic:pic>
            </a:graphicData>
          </a:graphic>
          <wp14:sizeRelH relativeFrom="margin">
            <wp14:pctWidth>0</wp14:pctWidth>
          </wp14:sizeRelH>
          <wp14:sizeRelV relativeFrom="margin">
            <wp14:pctHeight>0</wp14:pctHeight>
          </wp14:sizeRelV>
        </wp:anchor>
      </w:drawing>
    </w:r>
  </w:p>
  <w:p w14:paraId="5CB46879" w14:textId="77777777" w:rsidR="002D2322" w:rsidRDefault="002D232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2627E"/>
    <w:multiLevelType w:val="multilevel"/>
    <w:tmpl w:val="FFFFFFFF"/>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46199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76"/>
    <w:rsid w:val="00051795"/>
    <w:rsid w:val="000C2CB5"/>
    <w:rsid w:val="000C7769"/>
    <w:rsid w:val="00101640"/>
    <w:rsid w:val="002D2322"/>
    <w:rsid w:val="003301B0"/>
    <w:rsid w:val="003A25EB"/>
    <w:rsid w:val="003E1BA2"/>
    <w:rsid w:val="00464FA6"/>
    <w:rsid w:val="004E373A"/>
    <w:rsid w:val="00541E0A"/>
    <w:rsid w:val="00560876"/>
    <w:rsid w:val="00626080"/>
    <w:rsid w:val="008525BF"/>
    <w:rsid w:val="00AC76B1"/>
    <w:rsid w:val="00CD33C3"/>
    <w:rsid w:val="00CE40AB"/>
    <w:rsid w:val="00E351B6"/>
    <w:rsid w:val="00E81968"/>
    <w:rsid w:val="00EC0C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D87FF"/>
  <w15:chartTrackingRefBased/>
  <w15:docId w15:val="{D153455D-83F1-4C18-B066-C1DF2B3C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60876"/>
    <w:rPr>
      <w:color w:val="0563C1" w:themeColor="hyperlink"/>
      <w:u w:val="single"/>
    </w:rPr>
  </w:style>
  <w:style w:type="character" w:styleId="Lahendamatamainimine">
    <w:name w:val="Unresolved Mention"/>
    <w:basedOn w:val="Liguvaikefont"/>
    <w:uiPriority w:val="99"/>
    <w:semiHidden/>
    <w:unhideWhenUsed/>
    <w:rsid w:val="00560876"/>
    <w:rPr>
      <w:color w:val="605E5C"/>
      <w:shd w:val="clear" w:color="auto" w:fill="E1DFDD"/>
    </w:rPr>
  </w:style>
  <w:style w:type="paragraph" w:styleId="Vahedeta">
    <w:name w:val="No Spacing"/>
    <w:uiPriority w:val="1"/>
    <w:qFormat/>
    <w:rsid w:val="00560876"/>
    <w:pPr>
      <w:spacing w:after="0" w:line="240" w:lineRule="auto"/>
    </w:pPr>
  </w:style>
  <w:style w:type="paragraph" w:customStyle="1" w:styleId="Loetelu">
    <w:name w:val="Loetelu"/>
    <w:basedOn w:val="Kehatekst"/>
    <w:uiPriority w:val="99"/>
    <w:rsid w:val="00AC76B1"/>
    <w:pPr>
      <w:numPr>
        <w:numId w:val="1"/>
      </w:numPr>
      <w:tabs>
        <w:tab w:val="num" w:pos="360"/>
      </w:tabs>
      <w:spacing w:before="120" w:after="0" w:line="240" w:lineRule="auto"/>
      <w:jc w:val="both"/>
    </w:pPr>
    <w:rPr>
      <w:rFonts w:ascii="Times New Roman" w:eastAsia="Times New Roman" w:hAnsi="Times New Roman" w:cs="Times New Roman"/>
      <w:kern w:val="0"/>
      <w:sz w:val="24"/>
      <w:szCs w:val="20"/>
      <w14:ligatures w14:val="none"/>
    </w:rPr>
  </w:style>
  <w:style w:type="paragraph" w:styleId="Kehatekst">
    <w:name w:val="Body Text"/>
    <w:basedOn w:val="Normaallaad"/>
    <w:link w:val="KehatekstMrk"/>
    <w:uiPriority w:val="99"/>
    <w:semiHidden/>
    <w:unhideWhenUsed/>
    <w:rsid w:val="00AC76B1"/>
    <w:pPr>
      <w:spacing w:after="120"/>
    </w:pPr>
  </w:style>
  <w:style w:type="character" w:customStyle="1" w:styleId="KehatekstMrk">
    <w:name w:val="Kehatekst Märk"/>
    <w:basedOn w:val="Liguvaikefont"/>
    <w:link w:val="Kehatekst"/>
    <w:uiPriority w:val="99"/>
    <w:semiHidden/>
    <w:rsid w:val="00AC76B1"/>
  </w:style>
  <w:style w:type="paragraph" w:styleId="Pis">
    <w:name w:val="header"/>
    <w:basedOn w:val="Normaallaad"/>
    <w:link w:val="PisMrk"/>
    <w:uiPriority w:val="99"/>
    <w:unhideWhenUsed/>
    <w:rsid w:val="002D2322"/>
    <w:pPr>
      <w:tabs>
        <w:tab w:val="center" w:pos="4513"/>
        <w:tab w:val="right" w:pos="9026"/>
      </w:tabs>
      <w:spacing w:after="0" w:line="240" w:lineRule="auto"/>
    </w:pPr>
  </w:style>
  <w:style w:type="character" w:customStyle="1" w:styleId="PisMrk">
    <w:name w:val="Päis Märk"/>
    <w:basedOn w:val="Liguvaikefont"/>
    <w:link w:val="Pis"/>
    <w:uiPriority w:val="99"/>
    <w:rsid w:val="002D2322"/>
  </w:style>
  <w:style w:type="paragraph" w:styleId="Jalus">
    <w:name w:val="footer"/>
    <w:basedOn w:val="Normaallaad"/>
    <w:link w:val="JalusMrk"/>
    <w:uiPriority w:val="99"/>
    <w:unhideWhenUsed/>
    <w:rsid w:val="002D2322"/>
    <w:pPr>
      <w:tabs>
        <w:tab w:val="center" w:pos="4513"/>
        <w:tab w:val="right" w:pos="9026"/>
      </w:tabs>
      <w:spacing w:after="0" w:line="240" w:lineRule="auto"/>
    </w:pPr>
  </w:style>
  <w:style w:type="character" w:customStyle="1" w:styleId="JalusMrk">
    <w:name w:val="Jalus Märk"/>
    <w:basedOn w:val="Liguvaikefont"/>
    <w:link w:val="Jalus"/>
    <w:uiPriority w:val="99"/>
    <w:rsid w:val="002D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erviseame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783</Words>
  <Characters>4543</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Villmann</dc:creator>
  <cp:keywords/>
  <dc:description/>
  <cp:lastModifiedBy>Kätlin Villmann</cp:lastModifiedBy>
  <cp:revision>9</cp:revision>
  <dcterms:created xsi:type="dcterms:W3CDTF">2023-09-26T09:53:00Z</dcterms:created>
  <dcterms:modified xsi:type="dcterms:W3CDTF">2023-09-26T12:18:00Z</dcterms:modified>
</cp:coreProperties>
</file>